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3E" w:rsidRDefault="00DD1C3E" w:rsidP="00DD1C3E">
      <w:pPr>
        <w:pStyle w:val="NormalWeb"/>
        <w:shd w:val="clear" w:color="auto" w:fill="E7E6E6" w:themeFill="background2"/>
        <w:jc w:val="center"/>
        <w:rPr>
          <w:rStyle w:val="Strong"/>
          <w:rFonts w:ascii="Helvetica" w:hAnsi="Helvetica" w:cs="Helvetica"/>
          <w:color w:val="1D3850"/>
          <w:sz w:val="32"/>
          <w:szCs w:val="32"/>
        </w:rPr>
      </w:pPr>
      <w:r w:rsidRPr="00DD1C3E">
        <w:rPr>
          <w:rStyle w:val="Strong"/>
          <w:rFonts w:ascii="Helvetica" w:hAnsi="Helvetica" w:cs="Helvetica"/>
          <w:color w:val="1D3850"/>
          <w:sz w:val="32"/>
          <w:szCs w:val="32"/>
        </w:rPr>
        <w:t xml:space="preserve">Applied Methods of Cost-Effectiveness Analysis </w:t>
      </w:r>
    </w:p>
    <w:p w:rsidR="00DD1C3E" w:rsidRPr="00DD1C3E" w:rsidRDefault="00DD1C3E" w:rsidP="00DD1C3E">
      <w:pPr>
        <w:pStyle w:val="NormalWeb"/>
        <w:shd w:val="clear" w:color="auto" w:fill="E7E6E6" w:themeFill="background2"/>
        <w:jc w:val="center"/>
        <w:rPr>
          <w:rStyle w:val="Strong"/>
          <w:rFonts w:ascii="Helvetica" w:hAnsi="Helvetica" w:cs="Helvetica"/>
          <w:color w:val="1D3850"/>
          <w:sz w:val="28"/>
          <w:szCs w:val="28"/>
        </w:rPr>
      </w:pPr>
      <w:r w:rsidRPr="00DD1C3E">
        <w:rPr>
          <w:rStyle w:val="Strong"/>
          <w:rFonts w:ascii="Helvetica" w:hAnsi="Helvetica" w:cs="Helvetica"/>
          <w:color w:val="1D3850"/>
          <w:sz w:val="28"/>
          <w:szCs w:val="28"/>
        </w:rPr>
        <w:t>Course Content</w:t>
      </w:r>
    </w:p>
    <w:p w:rsidR="00DD1C3E" w:rsidRDefault="00DD1C3E" w:rsidP="00DD1C3E">
      <w:pPr>
        <w:pStyle w:val="NormalWeb"/>
        <w:rPr>
          <w:rStyle w:val="Strong"/>
          <w:rFonts w:ascii="Helvetica" w:hAnsi="Helvetica" w:cs="Helvetica"/>
          <w:color w:val="1D3850"/>
          <w:sz w:val="20"/>
          <w:szCs w:val="20"/>
        </w:rPr>
      </w:pPr>
    </w:p>
    <w:p w:rsidR="00DD1C3E" w:rsidRPr="005A6DE5" w:rsidRDefault="00DD1C3E" w:rsidP="00DD1C3E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color w:val="1D3850"/>
          <w:sz w:val="28"/>
          <w:szCs w:val="28"/>
          <w:u w:val="single"/>
        </w:rPr>
      </w:pPr>
      <w:r w:rsidRPr="005A6DE5">
        <w:rPr>
          <w:rStyle w:val="Strong"/>
          <w:rFonts w:asciiTheme="minorHAnsi" w:hAnsiTheme="minorHAnsi" w:cstheme="minorHAnsi"/>
          <w:color w:val="1D3850"/>
          <w:sz w:val="28"/>
          <w:szCs w:val="28"/>
          <w:u w:val="single"/>
        </w:rPr>
        <w:t>Health outcomes</w:t>
      </w:r>
    </w:p>
    <w:p w:rsidR="00DD1C3E" w:rsidRPr="005A6DE5" w:rsidRDefault="00DD1C3E" w:rsidP="00DD1C3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6DE5">
        <w:rPr>
          <w:rFonts w:ascii="Helvetica" w:hAnsi="Helvetica" w:cs="Helvetica"/>
          <w:color w:val="1D3850"/>
          <w:sz w:val="28"/>
          <w:szCs w:val="28"/>
        </w:rPr>
        <w:br/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t>Estimating life expectancy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Life tables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Survival analysis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Quality of life measurement and valuation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</w:r>
      <w:r w:rsidRPr="005A6DE5">
        <w:rPr>
          <w:rFonts w:asciiTheme="minorHAnsi" w:hAnsiTheme="minorHAnsi" w:cstheme="minorHAnsi"/>
          <w:b/>
          <w:bCs/>
          <w:sz w:val="28"/>
          <w:szCs w:val="28"/>
          <w:u w:val="single"/>
        </w:rPr>
        <w:t>Resource use and costs</w:t>
      </w:r>
    </w:p>
    <w:p w:rsidR="00DD1C3E" w:rsidRPr="005A6DE5" w:rsidRDefault="00DD1C3E" w:rsidP="00DD1C3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Describing cost data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</w:r>
      <w:proofErr w:type="gramStart"/>
      <w:r w:rsidRPr="005A6DE5">
        <w:rPr>
          <w:rFonts w:asciiTheme="minorHAnsi" w:hAnsiTheme="minorHAnsi" w:cstheme="minorHAnsi"/>
          <w:color w:val="1D3850"/>
          <w:sz w:val="28"/>
          <w:szCs w:val="28"/>
        </w:rPr>
        <w:t>Testing</w:t>
      </w:r>
      <w:proofErr w:type="gramEnd"/>
      <w:r w:rsidRPr="005A6DE5">
        <w:rPr>
          <w:rFonts w:asciiTheme="minorHAnsi" w:hAnsiTheme="minorHAnsi" w:cstheme="minorHAnsi"/>
          <w:color w:val="1D3850"/>
          <w:sz w:val="28"/>
          <w:szCs w:val="28"/>
        </w:rPr>
        <w:t xml:space="preserve"> for cost differences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 xml:space="preserve">Missing </w:t>
      </w:r>
      <w:bookmarkStart w:id="0" w:name="_GoBack"/>
      <w:bookmarkEnd w:id="0"/>
      <w:r w:rsidRPr="005A6DE5">
        <w:rPr>
          <w:rFonts w:asciiTheme="minorHAnsi" w:hAnsiTheme="minorHAnsi" w:cstheme="minorHAnsi"/>
          <w:color w:val="1D3850"/>
          <w:sz w:val="28"/>
          <w:szCs w:val="28"/>
        </w:rPr>
        <w:t>and censored cost data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Event Based Cost Analysis 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</w:r>
      <w:r w:rsidRPr="005A6DE5">
        <w:rPr>
          <w:rFonts w:asciiTheme="minorHAnsi" w:hAnsiTheme="minorHAnsi" w:cstheme="minorHAnsi"/>
          <w:b/>
          <w:bCs/>
          <w:sz w:val="28"/>
          <w:szCs w:val="28"/>
          <w:u w:val="single"/>
        </w:rPr>
        <w:t>Decision analysis and modelling</w:t>
      </w:r>
    </w:p>
    <w:p w:rsidR="00DD1C3E" w:rsidRPr="005A6DE5" w:rsidRDefault="00DD1C3E" w:rsidP="00DD1C3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Role of modelling 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Decision trees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Introducing Markov models 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</w:r>
      <w:proofErr w:type="gramStart"/>
      <w:r w:rsidRPr="005A6DE5">
        <w:rPr>
          <w:rFonts w:asciiTheme="minorHAnsi" w:hAnsiTheme="minorHAnsi" w:cstheme="minorHAnsi"/>
          <w:b/>
          <w:bCs/>
          <w:sz w:val="28"/>
          <w:szCs w:val="28"/>
          <w:u w:val="single"/>
        </w:rPr>
        <w:t>Reporting</w:t>
      </w:r>
      <w:proofErr w:type="gramEnd"/>
      <w:r w:rsidRPr="005A6DE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and presenting cost-effectiveness results</w:t>
      </w:r>
    </w:p>
    <w:p w:rsidR="00DD1C3E" w:rsidRPr="005A6DE5" w:rsidRDefault="00DD1C3E" w:rsidP="00DD1C3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D3850"/>
          <w:sz w:val="28"/>
          <w:szCs w:val="28"/>
        </w:rPr>
      </w:pP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Bootstrapping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Displaying results on the CE plane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Confidence intervals for CE ratios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  <w:t>Cost-effectiveness acceptability curves</w:t>
      </w:r>
      <w:r w:rsidRPr="005A6DE5">
        <w:rPr>
          <w:rFonts w:asciiTheme="minorHAnsi" w:hAnsiTheme="minorHAnsi" w:cstheme="minorHAnsi"/>
          <w:color w:val="1D3850"/>
          <w:sz w:val="28"/>
          <w:szCs w:val="28"/>
        </w:rPr>
        <w:br/>
      </w:r>
      <w:proofErr w:type="gramStart"/>
      <w:r w:rsidRPr="005A6DE5">
        <w:rPr>
          <w:rFonts w:asciiTheme="minorHAnsi" w:hAnsiTheme="minorHAnsi" w:cstheme="minorHAnsi"/>
          <w:color w:val="1D3850"/>
          <w:sz w:val="28"/>
          <w:szCs w:val="28"/>
        </w:rPr>
        <w:t>The</w:t>
      </w:r>
      <w:proofErr w:type="gramEnd"/>
      <w:r w:rsidRPr="005A6DE5">
        <w:rPr>
          <w:rFonts w:asciiTheme="minorHAnsi" w:hAnsiTheme="minorHAnsi" w:cstheme="minorHAnsi"/>
          <w:color w:val="1D3850"/>
          <w:sz w:val="28"/>
          <w:szCs w:val="28"/>
        </w:rPr>
        <w:t xml:space="preserve"> net benefit approach</w:t>
      </w:r>
    </w:p>
    <w:p w:rsidR="00DD1C3E" w:rsidRDefault="00DD1C3E" w:rsidP="00DD1C3E"/>
    <w:p w:rsidR="00DD1C3E" w:rsidRDefault="00DD1C3E" w:rsidP="00DD1C3E">
      <w:pPr>
        <w:rPr>
          <w:rFonts w:asciiTheme="minorHAnsi" w:hAnsiTheme="minorHAnsi" w:cstheme="minorBidi"/>
        </w:rPr>
      </w:pPr>
    </w:p>
    <w:p w:rsidR="000D07B8" w:rsidRDefault="005A6DE5"/>
    <w:sectPr w:rsidR="000D0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3E"/>
    <w:rsid w:val="001C18F3"/>
    <w:rsid w:val="00334F91"/>
    <w:rsid w:val="005A6DE5"/>
    <w:rsid w:val="00D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AFA1"/>
  <w15:chartTrackingRefBased/>
  <w15:docId w15:val="{D762F09D-BACF-452E-A5EA-6CDFB813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C3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C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1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Day</dc:creator>
  <cp:keywords/>
  <dc:description/>
  <cp:lastModifiedBy>Teresa Day</cp:lastModifiedBy>
  <cp:revision>2</cp:revision>
  <dcterms:created xsi:type="dcterms:W3CDTF">2020-08-05T13:09:00Z</dcterms:created>
  <dcterms:modified xsi:type="dcterms:W3CDTF">2020-08-05T13:11:00Z</dcterms:modified>
</cp:coreProperties>
</file>