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A4F8" w14:textId="77777777" w:rsidR="00DD1C3E" w:rsidRDefault="00DD1C3E" w:rsidP="00DD1C3E">
      <w:pPr>
        <w:pStyle w:val="NormalWeb"/>
        <w:shd w:val="clear" w:color="auto" w:fill="E7E6E6" w:themeFill="background2"/>
        <w:jc w:val="center"/>
        <w:rPr>
          <w:rStyle w:val="Strong"/>
          <w:rFonts w:ascii="Helvetica" w:hAnsi="Helvetica" w:cs="Helvetica"/>
          <w:color w:val="1D3850"/>
          <w:sz w:val="32"/>
          <w:szCs w:val="32"/>
        </w:rPr>
      </w:pPr>
      <w:r w:rsidRPr="00DD1C3E">
        <w:rPr>
          <w:rStyle w:val="Strong"/>
          <w:rFonts w:ascii="Helvetica" w:hAnsi="Helvetica" w:cs="Helvetica"/>
          <w:color w:val="1D3850"/>
          <w:sz w:val="32"/>
          <w:szCs w:val="32"/>
        </w:rPr>
        <w:t xml:space="preserve">Applied Methods of Cost-Effectiveness Analysis </w:t>
      </w:r>
    </w:p>
    <w:p w14:paraId="56259C94" w14:textId="77777777" w:rsidR="00DD1C3E" w:rsidRPr="00DD1C3E" w:rsidRDefault="00DD1C3E" w:rsidP="00DD1C3E">
      <w:pPr>
        <w:pStyle w:val="NormalWeb"/>
        <w:shd w:val="clear" w:color="auto" w:fill="E7E6E6" w:themeFill="background2"/>
        <w:jc w:val="center"/>
        <w:rPr>
          <w:rStyle w:val="Strong"/>
          <w:rFonts w:ascii="Helvetica" w:hAnsi="Helvetica" w:cs="Helvetica"/>
          <w:color w:val="1D3850"/>
          <w:sz w:val="28"/>
          <w:szCs w:val="28"/>
        </w:rPr>
      </w:pPr>
      <w:r w:rsidRPr="00DD1C3E">
        <w:rPr>
          <w:rStyle w:val="Strong"/>
          <w:rFonts w:ascii="Helvetica" w:hAnsi="Helvetica" w:cs="Helvetica"/>
          <w:color w:val="1D3850"/>
          <w:sz w:val="28"/>
          <w:szCs w:val="28"/>
        </w:rPr>
        <w:t>Course Content</w:t>
      </w:r>
    </w:p>
    <w:p w14:paraId="7BF4B579" w14:textId="77777777" w:rsidR="00DD1C3E" w:rsidRDefault="00DD1C3E" w:rsidP="00DD1C3E">
      <w:pPr>
        <w:pStyle w:val="NormalWeb"/>
        <w:rPr>
          <w:rStyle w:val="Strong"/>
          <w:rFonts w:ascii="Helvetica" w:hAnsi="Helvetica" w:cs="Helvetica"/>
          <w:color w:val="1D3850"/>
          <w:sz w:val="20"/>
          <w:szCs w:val="20"/>
        </w:rPr>
      </w:pPr>
    </w:p>
    <w:p w14:paraId="75E2EFBF" w14:textId="77777777" w:rsidR="00DD1C3E" w:rsidRPr="005A6DE5" w:rsidRDefault="00DD1C3E" w:rsidP="00DD1C3E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1D3850"/>
          <w:sz w:val="28"/>
          <w:szCs w:val="28"/>
          <w:u w:val="single"/>
        </w:rPr>
      </w:pPr>
      <w:r w:rsidRPr="005A6DE5">
        <w:rPr>
          <w:rStyle w:val="Strong"/>
          <w:rFonts w:asciiTheme="minorHAnsi" w:hAnsiTheme="minorHAnsi" w:cstheme="minorHAnsi"/>
          <w:color w:val="1D3850"/>
          <w:sz w:val="28"/>
          <w:szCs w:val="28"/>
          <w:u w:val="single"/>
        </w:rPr>
        <w:t>Health outcomes</w:t>
      </w:r>
    </w:p>
    <w:p w14:paraId="1E1457EB" w14:textId="77777777" w:rsidR="00DD1C3E" w:rsidRPr="005A6DE5" w:rsidRDefault="00DD1C3E" w:rsidP="00DD1C3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6DE5">
        <w:rPr>
          <w:rFonts w:ascii="Helvetica" w:hAnsi="Helvetica" w:cs="Helvetica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t>Estimating life expectancy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Life tables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Survival analysis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Quality of life measurement and valuation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Resource use and costs</w:t>
      </w:r>
    </w:p>
    <w:p w14:paraId="243C9F3B" w14:textId="6172CC74" w:rsidR="00DD1C3E" w:rsidRPr="005A6DE5" w:rsidRDefault="00DD1C3E" w:rsidP="000C2D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Describing cost data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Testing for cost differences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Missing and censored cost data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Event Based Cost Analysis 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Reporting and presenting cost-effectiveness results</w:t>
      </w:r>
    </w:p>
    <w:p w14:paraId="44B55241" w14:textId="77777777" w:rsidR="00DD1C3E" w:rsidRPr="005A6DE5" w:rsidRDefault="00DD1C3E" w:rsidP="00DD1C3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D3850"/>
          <w:sz w:val="28"/>
          <w:szCs w:val="28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Bootstrapping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Displaying results on the CE plane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Confidence intervals for CE ratios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Cost-effectiveness acceptability curves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The net benefit approach</w:t>
      </w:r>
    </w:p>
    <w:p w14:paraId="4C7EBB79" w14:textId="77777777" w:rsidR="00DD1C3E" w:rsidRDefault="00DD1C3E" w:rsidP="00DD1C3E">
      <w:pPr>
        <w:rPr>
          <w:rFonts w:asciiTheme="minorHAnsi" w:hAnsiTheme="minorHAnsi" w:cstheme="minorBidi"/>
        </w:rPr>
      </w:pPr>
    </w:p>
    <w:p w14:paraId="34EAF4FD" w14:textId="77777777" w:rsidR="000C2D0E" w:rsidRPr="005A6DE5" w:rsidRDefault="000C2D0E" w:rsidP="000C2D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Decision analysis and modelling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*</w:t>
      </w:r>
    </w:p>
    <w:p w14:paraId="34C55432" w14:textId="77777777" w:rsidR="000D07B8" w:rsidRDefault="000C2D0E" w:rsidP="000C2D0E">
      <w:pPr>
        <w:rPr>
          <w:rFonts w:asciiTheme="minorHAnsi" w:hAnsiTheme="minorHAnsi" w:cstheme="minorHAnsi"/>
          <w:color w:val="1D3850"/>
          <w:sz w:val="28"/>
          <w:szCs w:val="28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Role of modelling 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Decision trees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Introducing Markov models </w:t>
      </w:r>
    </w:p>
    <w:p w14:paraId="113BC42E" w14:textId="77777777" w:rsidR="000C2D0E" w:rsidRDefault="000C2D0E" w:rsidP="000C2D0E">
      <w:pPr>
        <w:rPr>
          <w:rFonts w:asciiTheme="minorHAnsi" w:hAnsiTheme="minorHAnsi" w:cstheme="minorHAnsi"/>
          <w:color w:val="1D3850"/>
          <w:sz w:val="28"/>
          <w:szCs w:val="28"/>
        </w:rPr>
      </w:pPr>
    </w:p>
    <w:p w14:paraId="3CE1CD29" w14:textId="77777777" w:rsidR="000C2D0E" w:rsidRDefault="000C2D0E" w:rsidP="000C2D0E">
      <w:pPr>
        <w:rPr>
          <w:rFonts w:asciiTheme="minorHAnsi" w:hAnsiTheme="minorHAnsi" w:cstheme="minorHAnsi"/>
          <w:color w:val="1D3850"/>
          <w:sz w:val="28"/>
          <w:szCs w:val="28"/>
        </w:rPr>
      </w:pPr>
    </w:p>
    <w:p w14:paraId="3D887D6E" w14:textId="722E9403" w:rsidR="000C2D0E" w:rsidRDefault="000C2D0E" w:rsidP="000C2D0E">
      <w:r>
        <w:rPr>
          <w:rFonts w:asciiTheme="minorHAnsi" w:hAnsiTheme="minorHAnsi" w:cstheme="minorHAnsi"/>
          <w:color w:val="1D3850"/>
          <w:sz w:val="28"/>
          <w:szCs w:val="28"/>
        </w:rPr>
        <w:t xml:space="preserve">*Online session </w:t>
      </w:r>
      <w:r w:rsidR="004A4C97">
        <w:rPr>
          <w:rFonts w:asciiTheme="minorHAnsi" w:hAnsiTheme="minorHAnsi" w:cstheme="minorHAnsi"/>
          <w:color w:val="1D3850"/>
          <w:sz w:val="28"/>
          <w:szCs w:val="28"/>
        </w:rPr>
        <w:t>0</w:t>
      </w:r>
      <w:bookmarkStart w:id="0" w:name="_GoBack"/>
      <w:bookmarkEnd w:id="0"/>
      <w:r>
        <w:rPr>
          <w:rFonts w:asciiTheme="minorHAnsi" w:hAnsiTheme="minorHAnsi" w:cstheme="minorHAnsi"/>
          <w:color w:val="1D3850"/>
          <w:sz w:val="28"/>
          <w:szCs w:val="28"/>
        </w:rPr>
        <w:t>1</w:t>
      </w:r>
      <w:r w:rsidR="000A69D2">
        <w:rPr>
          <w:rFonts w:asciiTheme="minorHAnsi" w:hAnsiTheme="minorHAnsi" w:cstheme="minorHAnsi"/>
          <w:color w:val="1D385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3850"/>
          <w:sz w:val="28"/>
          <w:szCs w:val="28"/>
        </w:rPr>
        <w:t>December 2022, 1-6pm GMT</w:t>
      </w:r>
    </w:p>
    <w:sectPr w:rsidR="000C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3E"/>
    <w:rsid w:val="000A69D2"/>
    <w:rsid w:val="000C2D0E"/>
    <w:rsid w:val="001C18F3"/>
    <w:rsid w:val="00334F91"/>
    <w:rsid w:val="0040248B"/>
    <w:rsid w:val="004A4C97"/>
    <w:rsid w:val="005A6DE5"/>
    <w:rsid w:val="00D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9DCE"/>
  <w15:chartTrackingRefBased/>
  <w15:docId w15:val="{D762F09D-BACF-452E-A5EA-6CDFB813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1C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Day</dc:creator>
  <cp:keywords/>
  <dc:description/>
  <cp:lastModifiedBy>Barbara Kitchener</cp:lastModifiedBy>
  <cp:revision>5</cp:revision>
  <dcterms:created xsi:type="dcterms:W3CDTF">2022-08-30T10:29:00Z</dcterms:created>
  <dcterms:modified xsi:type="dcterms:W3CDTF">2022-08-30T14:05:00Z</dcterms:modified>
</cp:coreProperties>
</file>